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lineRule="atLeast" w:line="270" w:before="0" w:after="0"/>
        <w:ind w:left="0" w:right="0" w:hanging="0"/>
        <w:jc w:val="center"/>
        <w:rPr>
          <w:rFonts w:ascii="elektra medium proregular;Arial;Helvetica;sans-serif" w:hAnsi="elektra medium proregular;Arial;Helvetica;sans-serif"/>
          <w:b w:val="false"/>
          <w:i w:val="false"/>
          <w:caps w:val="false"/>
          <w:smallCaps w:val="false"/>
          <w:color w:val="202020"/>
          <w:spacing w:val="0"/>
          <w:sz w:val="54"/>
          <w:szCs w:val="32"/>
        </w:rPr>
      </w:pPr>
      <w:r>
        <w:rPr>
          <w:rFonts w:ascii="elektra medium proregular;Arial;Helvetica;sans-serif" w:hAnsi="elektra medium proregular;Arial;Helvetica;sans-serif"/>
          <w:b/>
          <w:i w:val="false"/>
          <w:caps w:val="false"/>
          <w:smallCaps w:val="false"/>
          <w:color w:val="555555"/>
          <w:spacing w:val="0"/>
          <w:sz w:val="54"/>
          <w:szCs w:val="32"/>
        </w:rPr>
        <w:t>По следам Речи Посполитой</w:t>
      </w:r>
    </w:p>
    <w:p>
      <w:pPr>
        <w:pStyle w:val="4"/>
        <w:widowControl/>
        <w:spacing w:lineRule="atLeast" w:line="270" w:before="0" w:after="0"/>
        <w:ind w:left="0" w:right="0" w:hanging="0"/>
        <w:jc w:val="center"/>
        <w:rPr>
          <w:rFonts w:ascii="elektra text probold;Arial;Helvetica;sans-serif" w:hAnsi="elektra text probold;Arial;Helvetica;sans-serif"/>
          <w:b w:val="false"/>
          <w:i w:val="false"/>
          <w:caps w:val="false"/>
          <w:smallCaps w:val="false"/>
          <w:color w:val="000000"/>
          <w:spacing w:val="0"/>
          <w:sz w:val="23"/>
          <w:szCs w:val="32"/>
        </w:rPr>
      </w:pPr>
      <w:r>
        <w:rPr>
          <w:rFonts w:ascii="elektra text probold;Arial;Helvetica;sans-serif" w:hAnsi="elektra text probold;Arial;Helvetica;sans-serif"/>
          <w:b/>
          <w:i w:val="false"/>
          <w:caps w:val="false"/>
          <w:smallCaps w:val="false"/>
          <w:color w:val="555555"/>
          <w:spacing w:val="0"/>
          <w:sz w:val="23"/>
          <w:szCs w:val="32"/>
        </w:rPr>
        <w:t>8 июня 7:00</w:t>
      </w:r>
    </w:p>
    <w:p>
      <w:pPr>
        <w:pStyle w:val="4"/>
        <w:widowControl/>
        <w:pBdr/>
        <w:spacing w:lineRule="atLeast" w:line="270" w:before="0" w:after="0"/>
        <w:ind w:left="0" w:right="0" w:hanging="0"/>
        <w:jc w:val="center"/>
        <w:rPr>
          <w:rFonts w:ascii="elektra text probold;Arial;Helvetica;sans-serif" w:hAnsi="elektra text probold;Arial;Helvetic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elektra text probold;Arial;Helvetica;sans-serif" w:hAnsi="elektra text probold;Arial;Helvetica;sans-serif"/>
          <w:b w:val="false"/>
          <w:i w:val="false"/>
          <w:caps w:val="false"/>
          <w:smallCaps w:val="false"/>
          <w:color w:val="000000"/>
          <w:spacing w:val="0"/>
          <w:sz w:val="23"/>
        </w:rPr>
        <w:t>6 дней</w:t>
      </w:r>
    </w:p>
    <w:p>
      <w:pPr>
        <w:pStyle w:val="Style16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Следы гордого и могущественного государства простиравшегося от Черного до Балтийского морей, знаменитой Речи Посполитой, сохранились и по сей день, несмотря на многочисленные войны, прокатившиеся по этой многострадальной земле. Александр Воеводский откроет их всем желающим. В программе: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79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Полоцк - Глубокое - Крево - Лидский замок - Мурованка - Гродно - Слоним - Новогрудок - Мирский замок - Несвижский замок - Минск - Толочин - Орша - Витебск.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1 день</w:t>
      </w:r>
    </w:p>
    <w:p>
      <w:pPr>
        <w:pStyle w:val="Style16"/>
        <w:widowControl/>
        <w:spacing w:lineRule="atLeast" w:line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07.00 - отправление автобуса - пр.Московский, д.189 м."Московская" (выход на Авиационную).</w:t>
      </w:r>
    </w:p>
    <w:p>
      <w:pPr>
        <w:pStyle w:val="Style16"/>
        <w:widowControl/>
        <w:pBdr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Полоцк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. Экскурсия по городу, колыбели белорусской государственности. Осмотр 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Софийского собора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, некогда древнейшего в Белоруссии. Осмотр многочисленных памятников.</w:t>
        <w:br/>
        <w:t>Ужин и размещение в гостинице.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2 день </w:t>
      </w:r>
    </w:p>
    <w:p>
      <w:pPr>
        <w:pStyle w:val="Style16"/>
        <w:widowControl/>
        <w:pBdr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08.00 - Завтрак. Освобождение номеров. Переезд Полоцк—Глубокое. Экскурсия по городу 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Глубокое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, осмотр 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Троицкого костёла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 и православного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собора Рождества Пресвятой Богородицы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, первого на территории Белоруссии образца стиля Виленское барокко постройки знаменитого архитектора Иоганна Глаубица (XVIII века).</w:t>
        <w:br/>
        <w:t>Переезд Глубокое—Крево. Осмотр руин 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Кревского замка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 великого князя Гедимина (XIV век), где была подписана Кревская уния, положившая начало особого пути белорусских земель. Обед в Сморгони.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Лида.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 Экскурсия по городу Лида. Осмотр восстановленного Лидского замка великого князя Гедимина (XIV век), костёла Воздвижения Креста Господня в стиле Виленского барокко и православного собора Михаила Архангела (XIX век).</w:t>
        <w:br/>
        <w:t>Переезд Лида—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Мурованк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а. Осмотр церкви Рождества Пресвятой Богородицы, уникального оборонного храма в стиле Ренессанс (XVI век).</w:t>
        <w:br/>
        <w:t>Переезд Мурованка—Гродно. Размещение в гостинице.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3 день </w:t>
      </w:r>
    </w:p>
    <w:p>
      <w:pPr>
        <w:pStyle w:val="Style16"/>
        <w:widowControl/>
        <w:pBdr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7.30 - Освобождение номеров. Завтрак в Гродно. Обзорная экскурсия по </w:t>
      </w:r>
      <w:r>
        <w:rPr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8"/>
          <w:szCs w:val="28"/>
        </w:rPr>
        <w:t>Гродно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 — третей столице Речи Посполитой, наиболее полно сохранившемуся белорусскому городу. Осмотр уникальной древнерусской Коложской церкви (XII век), так называемого Старого замка (дворец великого князя Витовта и короля Стефана Батория), так называемого Нового замка (дворец короля Августа III и последнего короля Речи Посполитой Станислава Понятовского, где произошел Молчаливый сейм, положивший конец Речи Посполитой), кафедрального костёла святого Франциска Ксаверия в стиле Ренессанс (XVII век), костёла Отыскания Святого Креста, костёла Благовещания (XVII век), православного Покровского собора (начало XIX века) и многочисленных городских зданий и дворцов.Свободное время. Обед самостоятельно.</w:t>
        <w:br/>
        <w:t>Переезд Гродно—Сынковичи. Осмотр уникальной оборонной церкви Михаила Архангела в готическом стиле (XVI век).</w:t>
        <w:br/>
        <w:t>Переезд Сынковичи—Жировичи. Экскурсия по Жировицкому монастырю, самому почитаемому в Белоруссии.</w:t>
        <w:br/>
        <w:t>Переезд Жировичи—Лида. Ужин и размещение в гостинице.</w:t>
      </w:r>
    </w:p>
    <w:p>
      <w:pPr>
        <w:pStyle w:val="Style16"/>
        <w:widowControl/>
        <w:spacing w:lineRule="atLeast" w:line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4 день 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8.00 - Завтрак. Освобождение номеров. Переезд Лида—Новогрудок. Экскурсия по городу Новогрудок — первой столице Великого княжества Литовского. Осмотр живописных руин Новогрудского замка великого князя Гедимина (XIII век), где первый литовский князь Миндовг принял королевскую корону, а затем польский король Ягайло женился на Софии Гольшанской, положив начало династии Ягеллонов. Осмотр Преображенского костёла в стиле сарматского барокко (XVIII век), где был крещён Адам Мицкевич. Осмотр православного Никольского собора и костёла Михаила Архангела (XVIII век).</w:t>
        <w:br/>
        <w:t>Переезд Новогрудок—Мир. Экскурсия по Мирскому замку, самому живописному замку в Белоруссии (XVI век, всемирное наследие ЮНЕСКО)</w:t>
        <w:br/>
        <w:t>Переезд Мир—Несвиж. Обед в Несвиже. Экскурсия по Несвижскому замку (XVI век, всемирное наследие ЮНЕСКО). Оба замка принадлежали знаменитому роду Радзивиллов.</w:t>
        <w:br/>
        <w:t>Переезд в Минск. Ужин и размещение в гостинице.</w:t>
      </w:r>
    </w:p>
    <w:p>
      <w:pPr>
        <w:pStyle w:val="Style16"/>
        <w:widowControl/>
        <w:spacing w:lineRule="atLeast" w:line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5 день 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8.00 - Завтрак. Освобождение номеров. Экскурсия по Минску. Осмотр знаменитого Красного (начало XX века) выдающегося ансамбля проспекта Независимости и других по строек в стиле сталинского ампира, Ратуши, кафедрального костёла Девы Марии, кафедрального православного собора Святого Духа. Свободное время. Обед самостоятельно.</w:t>
        <w:br/>
        <w:t>Переезд Минск-Витебск</w:t>
        <w:br/>
        <w:t>Ужин и размещение в гостинице.</w:t>
      </w:r>
    </w:p>
    <w:p>
      <w:pPr>
        <w:pStyle w:val="Style16"/>
        <w:widowControl/>
        <w:spacing w:lineRule="atLeast" w:line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6 день </w:t>
      </w:r>
    </w:p>
    <w:p>
      <w:pPr>
        <w:pStyle w:val="Style16"/>
        <w:widowControl/>
        <w:pBdr/>
        <w:spacing w:lineRule="atLeast" w:line="270" w:before="0" w:after="27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8.00 - Завтрак. Освобождение номеров. Экскурсия по Витебску. Осмотр Ратуши, дома губернатора, воссозданных храмов: древнерусской Благовещенской церкви, а также Воскресенской церкви и Успенского собора в стиле барокко. Посещение дома-музея Марка Шагала. Отъезд в Петербург.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pacing w:lineRule="atLeast" w:line="270"/>
        <w:ind w:left="0" w:right="0" w:hanging="0"/>
        <w:jc w:val="left"/>
        <w:rPr/>
      </w:pP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В стоимость тура входит: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автобусное обслуживание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размещение выбранной категории в гостинице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питание по программе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экскурсионное обслуживание по программе</w:t>
      </w:r>
    </w:p>
    <w:p>
      <w:pPr>
        <w:pStyle w:val="Style16"/>
        <w:widowControl/>
        <w:numPr>
          <w:ilvl w:val="0"/>
          <w:numId w:val="1"/>
        </w:numPr>
        <w:pBdr/>
        <w:tabs>
          <w:tab w:val="left" w:pos="0" w:leader="none"/>
        </w:tabs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услуги гида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555555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555555"/>
          <w:spacing w:val="0"/>
          <w:sz w:val="28"/>
          <w:szCs w:val="28"/>
        </w:rPr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Фирма оставляет за собой право на внесение изменений в порядок посещения экскурсионных объектов, не изменяя объёма предоставляемых услуг.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br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2C2B2B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EE1D24"/>
          <w:spacing w:val="0"/>
          <w:sz w:val="28"/>
          <w:szCs w:val="28"/>
        </w:rPr>
        <w:t>Номерной фонд уточняйте в офисе! Есть варианты размещения: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br/>
        <w:br/>
        <w:t xml:space="preserve">  полный/детский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C2B2B"/>
          <w:spacing w:val="0"/>
          <w:sz w:val="28"/>
          <w:szCs w:val="28"/>
          <w:highlight w:val="white"/>
        </w:rPr>
        <w:br/>
        <w:t>Одноместный номер(стандарт)                                                               22100р.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Двухместный номер(стандарт)20800р./20500р.</w:t>
      </w:r>
    </w:p>
    <w:p>
      <w:pPr>
        <w:pStyle w:val="Style16"/>
        <w:widowControl/>
        <w:pBdr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C2B2B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2B2B"/>
          <w:spacing w:val="0"/>
          <w:sz w:val="28"/>
          <w:szCs w:val="28"/>
        </w:rPr>
        <w:t>Двухместный семейный 21200р./20900р.</w:t>
        <w:br/>
        <w:t>(2х спальная кровать, кроме Гродно)</w:t>
      </w:r>
    </w:p>
    <w:p>
      <w:pPr>
        <w:pStyle w:val="Style16"/>
        <w:widowControl/>
        <w:spacing w:lineRule="atLeast" w:line="270" w:before="0" w:after="0"/>
        <w:ind w:left="0" w:right="0" w:hanging="0"/>
        <w:jc w:val="center"/>
        <w:rPr>
          <w:b/>
          <w:color w:val="555555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4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elektra medium proregular">
    <w:altName w:val="Arial"/>
    <w:charset w:val="cc"/>
    <w:family w:val="auto"/>
    <w:pitch w:val="default"/>
  </w:font>
  <w:font w:name="elektra text probold">
    <w:altName w:val="Arial"/>
    <w:charset w:val="cc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5"/>
    <w:next w:val="Style16"/>
    <w:pPr>
      <w:spacing w:before="240" w:after="120"/>
      <w:outlineLvl w:val="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4">
    <w:name w:val="Заголовок 4"/>
    <w:basedOn w:val="Style15"/>
    <w:next w:val="Style16"/>
    <w:pPr>
      <w:spacing w:before="120" w:after="120"/>
      <w:outlineLvl w:val="3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LibreOffice/5.1.1.3$Windows_X86_64 LibreOffice_project/89f508ef3ecebd2cfb8e1def0f0ba9a803b88a6d</Application>
  <Pages>3</Pages>
  <Words>625</Words>
  <Characters>4208</Characters>
  <CharactersWithSpaces>4869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2016-04-06T11:42:47Z</cp:lastPrinted>
  <dcterms:modified xsi:type="dcterms:W3CDTF">2016-04-06T11:43:55Z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